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BA9C7" w14:textId="3C16A09B" w:rsidR="00064B80" w:rsidRPr="00514213" w:rsidRDefault="003564A9" w:rsidP="00514213">
      <w:pPr>
        <w:spacing w:after="0" w:line="240" w:lineRule="auto"/>
        <w:jc w:val="both"/>
        <w:rPr>
          <w:rFonts w:ascii="Calibri" w:hAnsi="Calibri" w:cs="Calibri"/>
          <w:lang w:val="es-ES"/>
        </w:rPr>
      </w:pPr>
      <w:r w:rsidRPr="00514213">
        <w:rPr>
          <w:rFonts w:ascii="Calibri" w:hAnsi="Calibri" w:cs="Calibri"/>
          <w:lang w:val="es-ES"/>
        </w:rPr>
        <w:t xml:space="preserve">Estimados accionistas, </w:t>
      </w:r>
    </w:p>
    <w:p w14:paraId="1231FCB0" w14:textId="77777777" w:rsidR="003564A9" w:rsidRPr="00514213" w:rsidRDefault="003564A9" w:rsidP="00514213">
      <w:pPr>
        <w:spacing w:after="0" w:line="240" w:lineRule="auto"/>
        <w:jc w:val="both"/>
        <w:rPr>
          <w:rFonts w:ascii="Calibri" w:hAnsi="Calibri" w:cs="Calibri"/>
          <w:lang w:val="es-ES"/>
        </w:rPr>
      </w:pPr>
    </w:p>
    <w:p w14:paraId="7CE68F16" w14:textId="30D780FE" w:rsidR="003564A9" w:rsidRPr="00514213" w:rsidRDefault="003564A9" w:rsidP="00514213">
      <w:pPr>
        <w:spacing w:after="0" w:line="240" w:lineRule="auto"/>
        <w:jc w:val="both"/>
        <w:rPr>
          <w:rFonts w:ascii="Calibri" w:hAnsi="Calibri" w:cs="Calibri"/>
          <w:lang w:val="es-ES"/>
        </w:rPr>
      </w:pPr>
      <w:r w:rsidRPr="00514213">
        <w:rPr>
          <w:rFonts w:ascii="Calibri" w:hAnsi="Calibri" w:cs="Calibri"/>
          <w:lang w:val="es-ES"/>
        </w:rPr>
        <w:t xml:space="preserve">Por medio del presente comunicado y de acuerdo con su interés en entender el procedimiento de la Oferta Pública de Adquisición “OPA”, nos permitimos informarle lo siguiente: </w:t>
      </w:r>
    </w:p>
    <w:p w14:paraId="448C294B" w14:textId="77777777" w:rsidR="003564A9" w:rsidRPr="00514213" w:rsidRDefault="003564A9" w:rsidP="00514213">
      <w:pPr>
        <w:spacing w:after="0" w:line="240" w:lineRule="auto"/>
        <w:jc w:val="both"/>
        <w:rPr>
          <w:rFonts w:ascii="Calibri" w:hAnsi="Calibri" w:cs="Calibri"/>
          <w:lang w:val="es-ES"/>
        </w:rPr>
      </w:pPr>
    </w:p>
    <w:p w14:paraId="42722123" w14:textId="422580B9" w:rsidR="00514213" w:rsidRPr="00514213" w:rsidRDefault="00514213" w:rsidP="00514213">
      <w:pPr>
        <w:pStyle w:val="Prrafodelista"/>
        <w:numPr>
          <w:ilvl w:val="0"/>
          <w:numId w:val="1"/>
        </w:numPr>
        <w:spacing w:after="0" w:line="240" w:lineRule="auto"/>
        <w:jc w:val="both"/>
        <w:rPr>
          <w:rFonts w:ascii="Calibri" w:hAnsi="Calibri" w:cs="Calibri"/>
          <w:lang w:val="es-ES"/>
        </w:rPr>
      </w:pPr>
      <w:r w:rsidRPr="00514213">
        <w:rPr>
          <w:rFonts w:ascii="Calibri" w:hAnsi="Calibri" w:cs="Calibri"/>
          <w:u w:val="single"/>
          <w:lang w:val="es-ES"/>
        </w:rPr>
        <w:t>Número de acciones a adquirir:</w:t>
      </w:r>
      <w:r w:rsidRPr="00514213">
        <w:rPr>
          <w:rFonts w:ascii="Calibri" w:hAnsi="Calibri" w:cs="Calibri"/>
          <w:lang w:val="es-ES"/>
        </w:rPr>
        <w:t xml:space="preserve"> El Oferente </w:t>
      </w:r>
      <w:r w:rsidR="0014710C">
        <w:rPr>
          <w:rFonts w:ascii="Calibri" w:hAnsi="Calibri" w:cs="Calibri"/>
          <w:lang w:val="es-ES"/>
        </w:rPr>
        <w:t>ha ofrecido adquirir</w:t>
      </w:r>
      <w:r w:rsidRPr="00514213">
        <w:rPr>
          <w:rFonts w:ascii="Calibri" w:hAnsi="Calibri" w:cs="Calibri"/>
          <w:lang w:val="es-ES"/>
        </w:rPr>
        <w:t xml:space="preserve"> máximo 2.572.890 acciones; se aclara que este número de acciones incluye aquellos accionistas que asistieron a la reunión de la Asamblea General de Accionistas del 20 de diciembre de 2025 d</w:t>
      </w:r>
      <w:r w:rsidR="0014710C">
        <w:rPr>
          <w:rFonts w:ascii="Calibri" w:hAnsi="Calibri" w:cs="Calibri"/>
          <w:lang w:val="es-ES"/>
        </w:rPr>
        <w:t>o</w:t>
      </w:r>
      <w:r w:rsidRPr="00514213">
        <w:rPr>
          <w:rFonts w:ascii="Calibri" w:hAnsi="Calibri" w:cs="Calibri"/>
          <w:lang w:val="es-ES"/>
        </w:rPr>
        <w:t xml:space="preserve">nde se aprobó </w:t>
      </w:r>
      <w:r w:rsidRPr="00514213">
        <w:rPr>
          <w:rFonts w:ascii="Calibri" w:hAnsi="Calibri" w:cs="Calibri"/>
          <w:bCs/>
        </w:rPr>
        <w:t xml:space="preserve">la cancelación de la inscripción de las acciones ordinarias del Emisor en el Registro Nacional de Valores y Emisores, RNVE, y en la Bolsa de Valores de Colombia S.A., y </w:t>
      </w:r>
      <w:r w:rsidR="0014710C">
        <w:rPr>
          <w:rFonts w:ascii="Calibri" w:hAnsi="Calibri" w:cs="Calibri"/>
          <w:bCs/>
        </w:rPr>
        <w:t xml:space="preserve">no estuvieron de acuerdo con el </w:t>
      </w:r>
      <w:proofErr w:type="spellStart"/>
      <w:r w:rsidR="0014710C">
        <w:rPr>
          <w:rFonts w:ascii="Calibri" w:hAnsi="Calibri" w:cs="Calibri"/>
          <w:bCs/>
        </w:rPr>
        <w:t>desliste</w:t>
      </w:r>
      <w:proofErr w:type="spellEnd"/>
      <w:r w:rsidRPr="00514213">
        <w:rPr>
          <w:rFonts w:ascii="Calibri" w:hAnsi="Calibri" w:cs="Calibri"/>
          <w:bCs/>
        </w:rPr>
        <w:t xml:space="preserve">, como </w:t>
      </w:r>
      <w:r w:rsidR="0014710C">
        <w:rPr>
          <w:rFonts w:ascii="Calibri" w:hAnsi="Calibri" w:cs="Calibri"/>
          <w:bCs/>
        </w:rPr>
        <w:t>a</w:t>
      </w:r>
      <w:r w:rsidRPr="00514213">
        <w:rPr>
          <w:rFonts w:ascii="Calibri" w:hAnsi="Calibri" w:cs="Calibri"/>
          <w:bCs/>
        </w:rPr>
        <w:t xml:space="preserve"> aquellos accionistas que no asistieron a la reunión. </w:t>
      </w:r>
      <w:r w:rsidR="0014710C">
        <w:rPr>
          <w:rFonts w:ascii="Calibri" w:hAnsi="Calibri" w:cs="Calibri"/>
          <w:bCs/>
        </w:rPr>
        <w:t>Se aclara igualmente que ningún accionista está obligado a vender.</w:t>
      </w:r>
    </w:p>
    <w:p w14:paraId="3FFD5864" w14:textId="77777777" w:rsidR="00514213" w:rsidRPr="00514213" w:rsidRDefault="00514213" w:rsidP="00514213">
      <w:pPr>
        <w:pStyle w:val="Prrafodelista"/>
        <w:spacing w:after="0" w:line="240" w:lineRule="auto"/>
        <w:jc w:val="both"/>
        <w:rPr>
          <w:rFonts w:ascii="Calibri" w:hAnsi="Calibri" w:cs="Calibri"/>
          <w:lang w:val="es-ES"/>
        </w:rPr>
      </w:pPr>
    </w:p>
    <w:p w14:paraId="6A96FDA2" w14:textId="52650522" w:rsidR="003564A9" w:rsidRDefault="00514213" w:rsidP="00514213">
      <w:pPr>
        <w:pStyle w:val="Prrafodelista"/>
        <w:numPr>
          <w:ilvl w:val="0"/>
          <w:numId w:val="1"/>
        </w:numPr>
        <w:spacing w:after="0" w:line="240" w:lineRule="auto"/>
        <w:jc w:val="both"/>
        <w:rPr>
          <w:rFonts w:ascii="Calibri" w:hAnsi="Calibri" w:cs="Calibri"/>
          <w:lang w:val="es-ES"/>
        </w:rPr>
      </w:pPr>
      <w:r w:rsidRPr="00514213">
        <w:rPr>
          <w:rFonts w:ascii="Calibri" w:hAnsi="Calibri" w:cs="Calibri"/>
          <w:u w:val="single"/>
          <w:lang w:val="es-ES"/>
        </w:rPr>
        <w:t>Precio unitario de cada acción:</w:t>
      </w:r>
      <w:r w:rsidRPr="00514213">
        <w:rPr>
          <w:rFonts w:ascii="Calibri" w:hAnsi="Calibri" w:cs="Calibri"/>
          <w:lang w:val="es-ES"/>
        </w:rPr>
        <w:t xml:space="preserve"> el Oferente (GRUPO MCM COLOMBIA S.A.S.) lanzó la OPA es de $1.812 por cada acción</w:t>
      </w:r>
      <w:r w:rsidR="00385B15">
        <w:rPr>
          <w:rFonts w:ascii="Calibri" w:hAnsi="Calibri" w:cs="Calibri"/>
          <w:lang w:val="es-ES"/>
        </w:rPr>
        <w:t xml:space="preserve">, según la valoración realizada por el </w:t>
      </w:r>
      <w:proofErr w:type="spellStart"/>
      <w:r w:rsidR="00385B15">
        <w:rPr>
          <w:rFonts w:ascii="Calibri" w:hAnsi="Calibri" w:cs="Calibri"/>
          <w:lang w:val="es-ES"/>
        </w:rPr>
        <w:t>avaluador</w:t>
      </w:r>
      <w:proofErr w:type="spellEnd"/>
      <w:r w:rsidR="00385B15">
        <w:rPr>
          <w:rFonts w:ascii="Calibri" w:hAnsi="Calibri" w:cs="Calibri"/>
          <w:lang w:val="es-ES"/>
        </w:rPr>
        <w:t xml:space="preserve"> aprobado por la Superintendencia Financiera.</w:t>
      </w:r>
    </w:p>
    <w:p w14:paraId="6A65239F" w14:textId="77777777" w:rsidR="00514213" w:rsidRPr="00514213" w:rsidRDefault="00514213" w:rsidP="00514213">
      <w:pPr>
        <w:pStyle w:val="Prrafodelista"/>
        <w:rPr>
          <w:rFonts w:ascii="Calibri" w:hAnsi="Calibri" w:cs="Calibri"/>
          <w:lang w:val="es-ES"/>
        </w:rPr>
      </w:pPr>
    </w:p>
    <w:p w14:paraId="1E2545A0" w14:textId="23017858" w:rsidR="003564A9" w:rsidRPr="00514213" w:rsidRDefault="003564A9" w:rsidP="00514213">
      <w:pPr>
        <w:pStyle w:val="Prrafodelista"/>
        <w:numPr>
          <w:ilvl w:val="0"/>
          <w:numId w:val="1"/>
        </w:numPr>
        <w:spacing w:after="0" w:line="240" w:lineRule="auto"/>
        <w:jc w:val="both"/>
        <w:rPr>
          <w:rFonts w:ascii="Calibri" w:hAnsi="Calibri" w:cs="Calibri"/>
          <w:lang w:val="es-ES"/>
        </w:rPr>
      </w:pPr>
      <w:r w:rsidRPr="00514213">
        <w:rPr>
          <w:rFonts w:ascii="Calibri" w:hAnsi="Calibri" w:cs="Calibri"/>
          <w:bCs/>
          <w:u w:val="single"/>
        </w:rPr>
        <w:t>Fecha de inicio de aceptaciones</w:t>
      </w:r>
      <w:r w:rsidRPr="00514213">
        <w:rPr>
          <w:rFonts w:ascii="Calibri" w:hAnsi="Calibri" w:cs="Calibri"/>
          <w:bCs/>
        </w:rPr>
        <w:t xml:space="preserve">: Los accionistas que deseen vender sus acciones por el precio mencionado, podrán aceptar la oferta a partir del </w:t>
      </w:r>
      <w:r w:rsidRPr="00385B15">
        <w:rPr>
          <w:rFonts w:ascii="Calibri" w:hAnsi="Calibri" w:cs="Calibri"/>
          <w:bCs/>
          <w:u w:val="single"/>
        </w:rPr>
        <w:t>31 de marzo de 202</w:t>
      </w:r>
      <w:r w:rsidR="00385B15" w:rsidRPr="00385B15">
        <w:rPr>
          <w:rFonts w:ascii="Calibri" w:hAnsi="Calibri" w:cs="Calibri"/>
          <w:bCs/>
          <w:u w:val="single"/>
        </w:rPr>
        <w:t>5</w:t>
      </w:r>
      <w:r w:rsidR="00EB61BC">
        <w:rPr>
          <w:rFonts w:ascii="Calibri" w:hAnsi="Calibri" w:cs="Calibri"/>
          <w:bCs/>
        </w:rPr>
        <w:t>.</w:t>
      </w:r>
    </w:p>
    <w:p w14:paraId="158577E5" w14:textId="77777777" w:rsidR="00514213" w:rsidRPr="00514213" w:rsidRDefault="00514213" w:rsidP="00514213">
      <w:pPr>
        <w:pStyle w:val="Prrafodelista"/>
        <w:rPr>
          <w:rFonts w:ascii="Calibri" w:hAnsi="Calibri" w:cs="Calibri"/>
          <w:lang w:val="es-ES"/>
        </w:rPr>
      </w:pPr>
    </w:p>
    <w:p w14:paraId="5A8284CB" w14:textId="2D22E0DA" w:rsidR="003564A9" w:rsidRPr="00514213" w:rsidRDefault="003564A9" w:rsidP="00514213">
      <w:pPr>
        <w:pStyle w:val="Prrafodelista"/>
        <w:numPr>
          <w:ilvl w:val="0"/>
          <w:numId w:val="1"/>
        </w:numPr>
        <w:spacing w:after="0" w:line="240" w:lineRule="auto"/>
        <w:jc w:val="both"/>
        <w:rPr>
          <w:rFonts w:ascii="Calibri" w:hAnsi="Calibri" w:cs="Calibri"/>
          <w:lang w:val="es-ES"/>
        </w:rPr>
      </w:pPr>
      <w:r w:rsidRPr="00514213">
        <w:rPr>
          <w:rFonts w:ascii="Calibri" w:hAnsi="Calibri" w:cs="Calibri"/>
          <w:bCs/>
          <w:u w:val="single"/>
        </w:rPr>
        <w:t>Fecha de fin de las aceptaciones</w:t>
      </w:r>
      <w:r w:rsidRPr="00514213">
        <w:rPr>
          <w:rFonts w:ascii="Calibri" w:hAnsi="Calibri" w:cs="Calibri"/>
          <w:bCs/>
        </w:rPr>
        <w:t xml:space="preserve">: Los accionistas que deseen vender sus acciones por el precio mencionado, podrán aceptar la oferta </w:t>
      </w:r>
      <w:r w:rsidRPr="00385B15">
        <w:rPr>
          <w:rFonts w:ascii="Calibri" w:hAnsi="Calibri" w:cs="Calibri"/>
          <w:bCs/>
          <w:u w:val="single"/>
        </w:rPr>
        <w:t>hasta el 11 de abril de 2025</w:t>
      </w:r>
      <w:r w:rsidR="00385B15">
        <w:rPr>
          <w:rFonts w:ascii="Calibri" w:hAnsi="Calibri" w:cs="Calibri"/>
          <w:bCs/>
          <w:u w:val="single"/>
        </w:rPr>
        <w:t>.</w:t>
      </w:r>
    </w:p>
    <w:p w14:paraId="757D195C" w14:textId="77777777" w:rsidR="00514213" w:rsidRPr="00514213" w:rsidRDefault="00514213" w:rsidP="00514213">
      <w:pPr>
        <w:pStyle w:val="Prrafodelista"/>
        <w:rPr>
          <w:rFonts w:ascii="Calibri" w:hAnsi="Calibri" w:cs="Calibri"/>
          <w:lang w:val="es-ES"/>
        </w:rPr>
      </w:pPr>
    </w:p>
    <w:p w14:paraId="60DB1BE5" w14:textId="34D0D35C" w:rsidR="003564A9" w:rsidRDefault="00514213" w:rsidP="00514213">
      <w:pPr>
        <w:pStyle w:val="Prrafodelista"/>
        <w:numPr>
          <w:ilvl w:val="0"/>
          <w:numId w:val="1"/>
        </w:numPr>
        <w:spacing w:after="0" w:line="240" w:lineRule="auto"/>
        <w:jc w:val="both"/>
        <w:rPr>
          <w:rFonts w:ascii="Calibri" w:hAnsi="Calibri" w:cs="Calibri"/>
          <w:lang w:val="es-ES"/>
        </w:rPr>
      </w:pPr>
      <w:r w:rsidRPr="00514213">
        <w:rPr>
          <w:rFonts w:ascii="Calibri" w:hAnsi="Calibri" w:cs="Calibri"/>
          <w:u w:val="single"/>
          <w:lang w:val="es-ES"/>
        </w:rPr>
        <w:t>Procedimiento para radicar las aceptaciones:</w:t>
      </w:r>
      <w:r w:rsidRPr="00514213">
        <w:rPr>
          <w:rFonts w:ascii="Calibri" w:hAnsi="Calibri" w:cs="Calibri"/>
          <w:lang w:val="es-ES"/>
        </w:rPr>
        <w:t xml:space="preserve"> Los accionistas que tomen la decisión de vender sus acciones por el precio indicado, podrán formular aceptaciones por conducto de cualquier sociedad comisionista de bolsa en los días hábiles comprendidos en el plazo señalado (Artículo 3.3.3.10. del Reglamento General De La Bolsa De Valores De Colombia S.A). </w:t>
      </w:r>
      <w:r w:rsidR="00EB61BC">
        <w:rPr>
          <w:rFonts w:ascii="Calibri" w:hAnsi="Calibri" w:cs="Calibri"/>
          <w:lang w:val="es-ES"/>
        </w:rPr>
        <w:t>No hay un formato especial, es sólo acercarse al comisionista para que por su conducto se acepte la venta de las acciones.</w:t>
      </w:r>
    </w:p>
    <w:p w14:paraId="52AB22BF" w14:textId="77777777" w:rsidR="00EB61BC" w:rsidRPr="00EB61BC" w:rsidRDefault="00EB61BC" w:rsidP="00EB61BC">
      <w:pPr>
        <w:pStyle w:val="Prrafodelista"/>
        <w:rPr>
          <w:rFonts w:ascii="Calibri" w:hAnsi="Calibri" w:cs="Calibri"/>
          <w:lang w:val="es-ES"/>
        </w:rPr>
      </w:pPr>
    </w:p>
    <w:p w14:paraId="1F15E1A5" w14:textId="5100CCD0" w:rsidR="00EB61BC" w:rsidRPr="00EB61BC" w:rsidRDefault="00EB61BC" w:rsidP="00EB61BC">
      <w:pPr>
        <w:pStyle w:val="Prrafodelista"/>
        <w:numPr>
          <w:ilvl w:val="0"/>
          <w:numId w:val="1"/>
        </w:numPr>
        <w:jc w:val="both"/>
        <w:rPr>
          <w:rFonts w:ascii="Calibri" w:hAnsi="Calibri" w:cs="Calibri"/>
          <w:lang w:val="es-ES"/>
        </w:rPr>
      </w:pPr>
      <w:r>
        <w:rPr>
          <w:rFonts w:ascii="Calibri" w:hAnsi="Calibri" w:cs="Calibri"/>
          <w:lang w:val="es-ES"/>
        </w:rPr>
        <w:t>Los accionistas que no acepten vender</w:t>
      </w:r>
      <w:r w:rsidRPr="00EB61BC">
        <w:rPr>
          <w:rFonts w:ascii="Calibri" w:hAnsi="Calibri" w:cs="Calibri"/>
          <w:lang w:val="es-ES"/>
        </w:rPr>
        <w:t xml:space="preserve"> las acciones</w:t>
      </w:r>
      <w:r>
        <w:rPr>
          <w:rFonts w:ascii="Calibri" w:hAnsi="Calibri" w:cs="Calibri"/>
          <w:lang w:val="es-ES"/>
        </w:rPr>
        <w:t>, sea porque no estén interesados o porque no lo hagan dentro del tiempo acá definido, s</w:t>
      </w:r>
      <w:r w:rsidRPr="00EB61BC">
        <w:rPr>
          <w:rFonts w:ascii="Calibri" w:hAnsi="Calibri" w:cs="Calibri"/>
          <w:lang w:val="es-ES"/>
        </w:rPr>
        <w:t xml:space="preserve">eguirán siendo accionistas de la sociedad, la cual pasará de ser una sociedad listada en la bolsa de valores, a ser una sociedad cerrada, en la cual se mantendrán las estipulaciones estatutarias como sociedad anónima, punto que hemos incluido en las respuestas. </w:t>
      </w:r>
      <w:r>
        <w:rPr>
          <w:rFonts w:ascii="Calibri" w:hAnsi="Calibri" w:cs="Calibri"/>
          <w:lang w:val="es-ES"/>
        </w:rPr>
        <w:t>Sin embargo, en cualquier tiempo podrán vender sus acciones en un proceso privado.</w:t>
      </w:r>
    </w:p>
    <w:p w14:paraId="1F353542" w14:textId="2E18E243" w:rsidR="00514213" w:rsidRDefault="00514213" w:rsidP="00514213">
      <w:pPr>
        <w:spacing w:after="0" w:line="240" w:lineRule="auto"/>
        <w:jc w:val="both"/>
        <w:rPr>
          <w:rFonts w:ascii="Calibri" w:hAnsi="Calibri" w:cs="Calibri"/>
        </w:rPr>
      </w:pPr>
      <w:r>
        <w:rPr>
          <w:rFonts w:ascii="Calibri" w:hAnsi="Calibri" w:cs="Calibri"/>
          <w:lang w:val="es-ES"/>
        </w:rPr>
        <w:t xml:space="preserve">En todo caso, le sugerimos leer el Cuadernillo de Oferta, así como la publicación del aviso en el diario El Colombiano que contiene todos los elementos detallados de la OPA; esta información la podrá solicitar </w:t>
      </w:r>
      <w:r w:rsidRPr="00514213">
        <w:rPr>
          <w:rFonts w:ascii="Calibri" w:hAnsi="Calibri" w:cs="Calibri"/>
        </w:rPr>
        <w:t>en los siguientes lugares</w:t>
      </w:r>
      <w:r>
        <w:rPr>
          <w:rFonts w:ascii="Calibri" w:hAnsi="Calibri" w:cs="Calibri"/>
        </w:rPr>
        <w:t>:</w:t>
      </w:r>
    </w:p>
    <w:p w14:paraId="1ED838D0" w14:textId="68083E74" w:rsidR="00514213" w:rsidRPr="00514213" w:rsidRDefault="00514213" w:rsidP="00514213">
      <w:pPr>
        <w:pStyle w:val="Prrafodelista"/>
        <w:numPr>
          <w:ilvl w:val="0"/>
          <w:numId w:val="2"/>
        </w:numPr>
        <w:spacing w:after="0" w:line="240" w:lineRule="auto"/>
        <w:jc w:val="both"/>
        <w:rPr>
          <w:rFonts w:ascii="Calibri" w:hAnsi="Calibri" w:cs="Calibri"/>
        </w:rPr>
      </w:pPr>
      <w:r w:rsidRPr="00514213">
        <w:rPr>
          <w:rFonts w:ascii="Calibri" w:hAnsi="Calibri" w:cs="Calibri"/>
        </w:rPr>
        <w:t xml:space="preserve">la Superintendencia Financiera de Colombia, ubicada en la </w:t>
      </w:r>
      <w:r w:rsidRPr="00514213">
        <w:rPr>
          <w:rFonts w:ascii="Calibri" w:hAnsi="Calibri" w:cs="Calibri"/>
          <w:lang w:val="es-MX"/>
        </w:rPr>
        <w:t>Calle 7 No. 4-49, Bogotá D.C., Colombia</w:t>
      </w:r>
      <w:r w:rsidRPr="00514213">
        <w:rPr>
          <w:rFonts w:ascii="Calibri" w:hAnsi="Calibri" w:cs="Calibri"/>
        </w:rPr>
        <w:t xml:space="preserve">, </w:t>
      </w:r>
    </w:p>
    <w:p w14:paraId="20140A53" w14:textId="172DA3F9" w:rsidR="00514213" w:rsidRPr="00514213" w:rsidRDefault="00514213" w:rsidP="00514213">
      <w:pPr>
        <w:pStyle w:val="Prrafodelista"/>
        <w:numPr>
          <w:ilvl w:val="0"/>
          <w:numId w:val="2"/>
        </w:numPr>
        <w:spacing w:after="0" w:line="240" w:lineRule="auto"/>
        <w:jc w:val="both"/>
        <w:rPr>
          <w:rFonts w:ascii="Calibri" w:hAnsi="Calibri" w:cs="Calibri"/>
          <w:bCs/>
        </w:rPr>
      </w:pPr>
      <w:r w:rsidRPr="00514213">
        <w:rPr>
          <w:rFonts w:ascii="Calibri" w:hAnsi="Calibri" w:cs="Calibri"/>
        </w:rPr>
        <w:t xml:space="preserve">en la Bolsa de Valores de Colombia, a través del siguiente enlace http://www.bvc.com.co - Opción </w:t>
      </w:r>
      <w:proofErr w:type="spellStart"/>
      <w:r w:rsidRPr="00514213">
        <w:rPr>
          <w:rFonts w:ascii="Calibri" w:hAnsi="Calibri" w:cs="Calibri"/>
        </w:rPr>
        <w:t>Financiate</w:t>
      </w:r>
      <w:proofErr w:type="spellEnd"/>
      <w:r w:rsidRPr="00514213">
        <w:rPr>
          <w:rFonts w:ascii="Calibri" w:hAnsi="Calibri" w:cs="Calibri"/>
        </w:rPr>
        <w:t xml:space="preserve"> –Prospectos – Acciones, </w:t>
      </w:r>
    </w:p>
    <w:p w14:paraId="227941ED" w14:textId="3B3263DB" w:rsidR="00514213" w:rsidRPr="00514213" w:rsidRDefault="00514213" w:rsidP="00514213">
      <w:pPr>
        <w:pStyle w:val="Prrafodelista"/>
        <w:numPr>
          <w:ilvl w:val="0"/>
          <w:numId w:val="2"/>
        </w:numPr>
        <w:spacing w:after="0" w:line="240" w:lineRule="auto"/>
        <w:jc w:val="both"/>
        <w:rPr>
          <w:rFonts w:ascii="Calibri" w:hAnsi="Calibri" w:cs="Calibri"/>
          <w:bCs/>
        </w:rPr>
      </w:pPr>
      <w:r w:rsidRPr="00514213">
        <w:rPr>
          <w:rFonts w:ascii="Calibri" w:hAnsi="Calibri" w:cs="Calibri"/>
        </w:rPr>
        <w:t xml:space="preserve">en las oficinas de la sociedad comisionista de bolsa, Credicorp Capital Colombia S.A., ubicadas en la </w:t>
      </w:r>
      <w:r w:rsidRPr="00514213">
        <w:rPr>
          <w:rFonts w:ascii="Calibri" w:hAnsi="Calibri" w:cs="Calibri"/>
          <w:lang w:val="es-MX"/>
        </w:rPr>
        <w:t>Calle 34 No. 6-65, Bogotá D.C., Colombia</w:t>
      </w:r>
      <w:r w:rsidRPr="00514213">
        <w:rPr>
          <w:rFonts w:ascii="Calibri" w:hAnsi="Calibri" w:cs="Calibri"/>
        </w:rPr>
        <w:t xml:space="preserve">, así como en el siguiente enlace </w:t>
      </w:r>
      <w:r w:rsidRPr="00514213">
        <w:rPr>
          <w:rFonts w:ascii="Calibri" w:hAnsi="Calibri" w:cs="Calibri"/>
          <w:u w:val="single"/>
          <w:lang w:val="es-MX"/>
        </w:rPr>
        <w:t>www. Credicorpcapital.com</w:t>
      </w:r>
      <w:r w:rsidRPr="00514213">
        <w:rPr>
          <w:rFonts w:ascii="Calibri" w:hAnsi="Calibri" w:cs="Calibri"/>
        </w:rPr>
        <w:t xml:space="preserve">, y </w:t>
      </w:r>
    </w:p>
    <w:p w14:paraId="1CAC1AFC" w14:textId="66432165" w:rsidR="00514213" w:rsidRPr="00EB61BC" w:rsidRDefault="00514213" w:rsidP="00514213">
      <w:pPr>
        <w:pStyle w:val="Prrafodelista"/>
        <w:numPr>
          <w:ilvl w:val="0"/>
          <w:numId w:val="2"/>
        </w:numPr>
        <w:spacing w:after="0" w:line="240" w:lineRule="auto"/>
        <w:jc w:val="both"/>
        <w:rPr>
          <w:rFonts w:ascii="Calibri" w:hAnsi="Calibri" w:cs="Calibri"/>
          <w:bCs/>
        </w:rPr>
      </w:pPr>
      <w:r w:rsidRPr="00514213">
        <w:rPr>
          <w:rFonts w:ascii="Calibri" w:hAnsi="Calibri" w:cs="Calibri"/>
        </w:rPr>
        <w:t>en las oficinas del Oferente en la CR 42 54 A 161</w:t>
      </w:r>
      <w:r w:rsidRPr="00514213">
        <w:rPr>
          <w:rFonts w:ascii="Calibri" w:hAnsi="Calibri" w:cs="Calibri"/>
          <w:bCs/>
        </w:rPr>
        <w:t>, Itagüí, Antioquia.</w:t>
      </w:r>
    </w:p>
    <w:sectPr w:rsidR="00514213" w:rsidRPr="00EB61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7248"/>
    <w:multiLevelType w:val="hybridMultilevel"/>
    <w:tmpl w:val="6636B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51643A1"/>
    <w:multiLevelType w:val="hybridMultilevel"/>
    <w:tmpl w:val="2E04C0A0"/>
    <w:lvl w:ilvl="0" w:tplc="C044983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133666322">
    <w:abstractNumId w:val="0"/>
  </w:num>
  <w:num w:numId="2" w16cid:durableId="351540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4A9"/>
    <w:rsid w:val="00064B80"/>
    <w:rsid w:val="00071E15"/>
    <w:rsid w:val="0014710C"/>
    <w:rsid w:val="00245530"/>
    <w:rsid w:val="003346E0"/>
    <w:rsid w:val="003564A9"/>
    <w:rsid w:val="0036424F"/>
    <w:rsid w:val="00385B15"/>
    <w:rsid w:val="00514213"/>
    <w:rsid w:val="005B2F4F"/>
    <w:rsid w:val="006B56CF"/>
    <w:rsid w:val="008217CD"/>
    <w:rsid w:val="0099347D"/>
    <w:rsid w:val="00BD08BF"/>
    <w:rsid w:val="00EB61BC"/>
    <w:rsid w:val="00EC1344"/>
    <w:rsid w:val="00F310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A507"/>
  <w15:chartTrackingRefBased/>
  <w15:docId w15:val="{60B877CA-6857-47AB-9ABA-8AF5FBC4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564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564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564A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564A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564A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564A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564A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564A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564A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64A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564A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564A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564A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564A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564A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564A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564A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564A9"/>
    <w:rPr>
      <w:rFonts w:eastAsiaTheme="majorEastAsia" w:cstheme="majorBidi"/>
      <w:color w:val="272727" w:themeColor="text1" w:themeTint="D8"/>
    </w:rPr>
  </w:style>
  <w:style w:type="paragraph" w:styleId="Ttulo">
    <w:name w:val="Title"/>
    <w:basedOn w:val="Normal"/>
    <w:next w:val="Normal"/>
    <w:link w:val="TtuloCar"/>
    <w:uiPriority w:val="10"/>
    <w:qFormat/>
    <w:rsid w:val="003564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564A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564A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564A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564A9"/>
    <w:pPr>
      <w:spacing w:before="160"/>
      <w:jc w:val="center"/>
    </w:pPr>
    <w:rPr>
      <w:i/>
      <w:iCs/>
      <w:color w:val="404040" w:themeColor="text1" w:themeTint="BF"/>
    </w:rPr>
  </w:style>
  <w:style w:type="character" w:customStyle="1" w:styleId="CitaCar">
    <w:name w:val="Cita Car"/>
    <w:basedOn w:val="Fuentedeprrafopredeter"/>
    <w:link w:val="Cita"/>
    <w:uiPriority w:val="29"/>
    <w:rsid w:val="003564A9"/>
    <w:rPr>
      <w:i/>
      <w:iCs/>
      <w:color w:val="404040" w:themeColor="text1" w:themeTint="BF"/>
    </w:rPr>
  </w:style>
  <w:style w:type="paragraph" w:styleId="Prrafodelista">
    <w:name w:val="List Paragraph"/>
    <w:basedOn w:val="Normal"/>
    <w:uiPriority w:val="34"/>
    <w:qFormat/>
    <w:rsid w:val="003564A9"/>
    <w:pPr>
      <w:ind w:left="720"/>
      <w:contextualSpacing/>
    </w:pPr>
  </w:style>
  <w:style w:type="character" w:styleId="nfasisintenso">
    <w:name w:val="Intense Emphasis"/>
    <w:basedOn w:val="Fuentedeprrafopredeter"/>
    <w:uiPriority w:val="21"/>
    <w:qFormat/>
    <w:rsid w:val="003564A9"/>
    <w:rPr>
      <w:i/>
      <w:iCs/>
      <w:color w:val="0F4761" w:themeColor="accent1" w:themeShade="BF"/>
    </w:rPr>
  </w:style>
  <w:style w:type="paragraph" w:styleId="Citadestacada">
    <w:name w:val="Intense Quote"/>
    <w:basedOn w:val="Normal"/>
    <w:next w:val="Normal"/>
    <w:link w:val="CitadestacadaCar"/>
    <w:uiPriority w:val="30"/>
    <w:qFormat/>
    <w:rsid w:val="003564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564A9"/>
    <w:rPr>
      <w:i/>
      <w:iCs/>
      <w:color w:val="0F4761" w:themeColor="accent1" w:themeShade="BF"/>
    </w:rPr>
  </w:style>
  <w:style w:type="character" w:styleId="Referenciaintensa">
    <w:name w:val="Intense Reference"/>
    <w:basedOn w:val="Fuentedeprrafopredeter"/>
    <w:uiPriority w:val="32"/>
    <w:qFormat/>
    <w:rsid w:val="003564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27622">
      <w:bodyDiv w:val="1"/>
      <w:marLeft w:val="0"/>
      <w:marRight w:val="0"/>
      <w:marTop w:val="0"/>
      <w:marBottom w:val="0"/>
      <w:divBdr>
        <w:top w:val="none" w:sz="0" w:space="0" w:color="auto"/>
        <w:left w:val="none" w:sz="0" w:space="0" w:color="auto"/>
        <w:bottom w:val="none" w:sz="0" w:space="0" w:color="auto"/>
        <w:right w:val="none" w:sz="0" w:space="0" w:color="auto"/>
      </w:divBdr>
    </w:div>
    <w:div w:id="484785097">
      <w:bodyDiv w:val="1"/>
      <w:marLeft w:val="0"/>
      <w:marRight w:val="0"/>
      <w:marTop w:val="0"/>
      <w:marBottom w:val="0"/>
      <w:divBdr>
        <w:top w:val="none" w:sz="0" w:space="0" w:color="auto"/>
        <w:left w:val="none" w:sz="0" w:space="0" w:color="auto"/>
        <w:bottom w:val="none" w:sz="0" w:space="0" w:color="auto"/>
        <w:right w:val="none" w:sz="0" w:space="0" w:color="auto"/>
      </w:divBdr>
    </w:div>
    <w:div w:id="195312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2583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Sanchez</dc:creator>
  <cp:keywords/>
  <dc:description/>
  <cp:lastModifiedBy>Elsa Gladys Muñoz Gutierrez</cp:lastModifiedBy>
  <cp:revision>2</cp:revision>
  <dcterms:created xsi:type="dcterms:W3CDTF">2025-03-24T19:08:00Z</dcterms:created>
  <dcterms:modified xsi:type="dcterms:W3CDTF">2025-03-24T19:08:00Z</dcterms:modified>
</cp:coreProperties>
</file>